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717B" w14:textId="41086C25" w:rsidR="000E2F56" w:rsidRDefault="002A1F5B" w:rsidP="002A1F5B">
      <w:pPr>
        <w:pStyle w:val="BodyText"/>
        <w:jc w:val="center"/>
        <w:rPr>
          <w:rFonts w:ascii="Times New Roman"/>
          <w:sz w:val="20"/>
        </w:rPr>
      </w:pPr>
      <w:r w:rsidRPr="007A6FF1">
        <w:rPr>
          <w:noProof/>
        </w:rPr>
        <w:drawing>
          <wp:inline distT="0" distB="0" distL="0" distR="0" wp14:anchorId="2D900DD7" wp14:editId="43FA1D7A">
            <wp:extent cx="3467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44D0" w14:textId="77777777" w:rsidR="000E2F56" w:rsidRDefault="000E2F56">
      <w:pPr>
        <w:pStyle w:val="BodyText"/>
        <w:spacing w:before="7"/>
        <w:ind w:left="0"/>
        <w:rPr>
          <w:rFonts w:ascii="Times New Roman"/>
          <w:sz w:val="10"/>
        </w:rPr>
      </w:pPr>
    </w:p>
    <w:p w14:paraId="41DCC431" w14:textId="77777777" w:rsidR="000E2F56" w:rsidRDefault="00610741"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BD184B" wp14:editId="5C59F3F3">
                <wp:extent cx="6400800" cy="9525"/>
                <wp:effectExtent l="7620" t="1905" r="1905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C50E5" id="Group 3" o:spid="_x0000_s1026" style="width:7in;height:.75pt;mso-position-horizontal-relative:char;mso-position-vertical-relative:line" coordsize="100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">
                <v:line id="Line 4" o:spid="_x0000_s1027" style="position:absolute;visibility:visible;mso-wrap-style:square" from="8,8" to="100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4D5F6377" w14:textId="77777777" w:rsidR="000E2F56" w:rsidRDefault="000E2F56">
      <w:pPr>
        <w:pStyle w:val="BodyText"/>
        <w:spacing w:before="6"/>
        <w:ind w:left="0"/>
        <w:rPr>
          <w:rFonts w:ascii="Times New Roman"/>
          <w:sz w:val="29"/>
        </w:rPr>
      </w:pPr>
    </w:p>
    <w:p w14:paraId="5F77BA00" w14:textId="77777777" w:rsidR="000E2F56" w:rsidRDefault="00E278E0">
      <w:pPr>
        <w:pStyle w:val="Heading1"/>
        <w:spacing w:before="89"/>
      </w:pPr>
      <w:r>
        <w:t xml:space="preserve">Title: </w:t>
      </w:r>
      <w:r w:rsidR="00196266">
        <w:t xml:space="preserve">GTA </w:t>
      </w:r>
      <w:hyperlink r:id="rId9">
        <w:r w:rsidR="00C75C22">
          <w:t xml:space="preserve">Security Awareness </w:t>
        </w:r>
        <w:r w:rsidR="00196266">
          <w:t xml:space="preserve">and Training </w:t>
        </w:r>
      </w:hyperlink>
      <w:r w:rsidR="00865229">
        <w:t>Agreement</w:t>
      </w:r>
    </w:p>
    <w:p w14:paraId="0F276FD0" w14:textId="77777777" w:rsidR="000E2F56" w:rsidRDefault="000E2F56">
      <w:pPr>
        <w:pStyle w:val="BodyText"/>
        <w:spacing w:before="10"/>
        <w:ind w:left="0"/>
        <w:rPr>
          <w:sz w:val="20"/>
        </w:rPr>
      </w:pPr>
    </w:p>
    <w:p w14:paraId="76F941EC" w14:textId="6D7EA3F5" w:rsidR="00E278E0" w:rsidRDefault="00865229">
      <w:pPr>
        <w:pStyle w:val="BodyText"/>
        <w:spacing w:before="1" w:line="463" w:lineRule="auto"/>
        <w:ind w:right="5647"/>
      </w:pPr>
      <w:r>
        <w:t xml:space="preserve">HR Policy </w:t>
      </w:r>
      <w:r w:rsidR="00E278E0">
        <w:t xml:space="preserve">Number: </w:t>
      </w:r>
      <w:r w:rsidR="00EC08DD">
        <w:t>#2.4</w:t>
      </w:r>
    </w:p>
    <w:p w14:paraId="5362DFE3" w14:textId="5B24A2A6" w:rsidR="00E278E0" w:rsidRDefault="00E278E0">
      <w:pPr>
        <w:pStyle w:val="BodyText"/>
        <w:spacing w:before="1" w:line="463" w:lineRule="auto"/>
        <w:ind w:right="5647"/>
      </w:pPr>
      <w:r>
        <w:t xml:space="preserve">Document Type: </w:t>
      </w:r>
      <w:r w:rsidR="00865229">
        <w:t xml:space="preserve">HR </w:t>
      </w:r>
      <w:r w:rsidR="00EC08DD">
        <w:t xml:space="preserve">IT </w:t>
      </w:r>
      <w:r w:rsidR="00865229">
        <w:t>Polic</w:t>
      </w:r>
      <w:r w:rsidR="00EC08DD">
        <w:t>y</w:t>
      </w:r>
      <w:r w:rsidR="00C75C22">
        <w:t xml:space="preserve"> </w:t>
      </w:r>
      <w:bookmarkStart w:id="0" w:name="_GoBack"/>
      <w:bookmarkEnd w:id="0"/>
    </w:p>
    <w:p w14:paraId="1333E9B3" w14:textId="07AAD637" w:rsidR="000E2F56" w:rsidRDefault="00C75C22">
      <w:pPr>
        <w:pStyle w:val="BodyText"/>
        <w:spacing w:before="1" w:line="463" w:lineRule="auto"/>
        <w:ind w:right="5647"/>
      </w:pPr>
      <w:r>
        <w:t xml:space="preserve">Issue Date: </w:t>
      </w:r>
      <w:r w:rsidR="00EC08DD">
        <w:t>7/11/2019</w:t>
      </w:r>
    </w:p>
    <w:p w14:paraId="49993086" w14:textId="144CFFF0" w:rsidR="000E2F56" w:rsidRDefault="00196266">
      <w:pPr>
        <w:pStyle w:val="BodyText"/>
        <w:spacing w:before="8"/>
      </w:pPr>
      <w:r>
        <w:t xml:space="preserve">Effective Date: </w:t>
      </w:r>
      <w:r w:rsidR="00EC08DD">
        <w:t>7/11/2019</w:t>
      </w:r>
    </w:p>
    <w:p w14:paraId="14E75CE0" w14:textId="77777777" w:rsidR="00E278E0" w:rsidRDefault="00E278E0">
      <w:pPr>
        <w:pStyle w:val="BodyText"/>
        <w:spacing w:before="8"/>
      </w:pPr>
    </w:p>
    <w:p w14:paraId="0AE2A8D6" w14:textId="77777777" w:rsidR="00E278E0" w:rsidRDefault="00E278E0">
      <w:pPr>
        <w:pStyle w:val="BodyText"/>
        <w:spacing w:before="8"/>
      </w:pPr>
      <w:r>
        <w:t xml:space="preserve">POC for Changes: GTA </w:t>
      </w:r>
      <w:r w:rsidR="00865229">
        <w:t>Human Resources/GTA ISO</w:t>
      </w:r>
    </w:p>
    <w:p w14:paraId="3473DAB5" w14:textId="77777777" w:rsidR="00E278E0" w:rsidRDefault="00E278E0">
      <w:pPr>
        <w:pStyle w:val="BodyText"/>
        <w:spacing w:before="8"/>
      </w:pPr>
    </w:p>
    <w:p w14:paraId="5B9A17BC" w14:textId="77777777" w:rsidR="00E278E0" w:rsidRDefault="00875527">
      <w:pPr>
        <w:pStyle w:val="BodyText"/>
        <w:spacing w:before="8"/>
      </w:pPr>
      <w:r>
        <w:t xml:space="preserve">Synopsis: Establishes </w:t>
      </w:r>
      <w:r w:rsidR="00E278E0">
        <w:t xml:space="preserve">a need to continuously increase </w:t>
      </w:r>
      <w:r>
        <w:t xml:space="preserve">end </w:t>
      </w:r>
      <w:r w:rsidR="00075AC0">
        <w:t>user’s</w:t>
      </w:r>
      <w:r>
        <w:t xml:space="preserve"> security awareness through a diverse security awareness program upon hire.</w:t>
      </w:r>
    </w:p>
    <w:p w14:paraId="418D7A2A" w14:textId="77777777" w:rsidR="000E2F56" w:rsidRDefault="000E2F56">
      <w:pPr>
        <w:pStyle w:val="BodyText"/>
        <w:spacing w:before="10"/>
        <w:ind w:left="0"/>
        <w:rPr>
          <w:sz w:val="27"/>
        </w:rPr>
      </w:pPr>
    </w:p>
    <w:p w14:paraId="6B946231" w14:textId="77777777" w:rsidR="000E2F56" w:rsidRDefault="00C75C22">
      <w:pPr>
        <w:pStyle w:val="Heading1"/>
      </w:pPr>
      <w:r>
        <w:t>PURPOSE</w:t>
      </w:r>
    </w:p>
    <w:p w14:paraId="3687CFD6" w14:textId="77777777" w:rsidR="000E2F56" w:rsidRPr="00196266" w:rsidRDefault="00196266">
      <w:pPr>
        <w:pStyle w:val="BodyText"/>
        <w:spacing w:before="319" w:line="254" w:lineRule="auto"/>
        <w:ind w:right="538"/>
      </w:pPr>
      <w:r>
        <w:t xml:space="preserve">One of the goals in the State of </w:t>
      </w:r>
      <w:r w:rsidR="008A6C0A">
        <w:t xml:space="preserve">Georgia’s </w:t>
      </w:r>
      <w:r w:rsidR="00C75C22">
        <w:t xml:space="preserve">Information Security </w:t>
      </w:r>
      <w:r>
        <w:t>Strategic Plan</w:t>
      </w:r>
      <w:r w:rsidR="00C75C22">
        <w:t xml:space="preserve"> is to increase the awareness of the workforce through a security awareness </w:t>
      </w:r>
      <w:r>
        <w:t xml:space="preserve">and training </w:t>
      </w:r>
      <w:r w:rsidR="00C75C22">
        <w:t xml:space="preserve">program. </w:t>
      </w:r>
      <w:r w:rsidR="008A6C0A">
        <w:t xml:space="preserve">The </w:t>
      </w:r>
      <w:r>
        <w:t>Georgia Technology Authority</w:t>
      </w:r>
      <w:r w:rsidR="00C75C22">
        <w:t xml:space="preserve"> cannot protect the integrity, confidentiality, and availability of </w:t>
      </w:r>
      <w:r>
        <w:t>its information in today’</w:t>
      </w:r>
      <w:r w:rsidR="00C75C22">
        <w:t xml:space="preserve">s highly networked systems environment without ensuring that each </w:t>
      </w:r>
      <w:r>
        <w:t xml:space="preserve">GTA employee and contractor hired </w:t>
      </w:r>
      <w:r w:rsidR="00C75C22">
        <w:t xml:space="preserve">understands their roles and responsibilities and is adequately trained to perform </w:t>
      </w:r>
      <w:r>
        <w:t>their assigned duties</w:t>
      </w:r>
      <w:r w:rsidR="00C75C22">
        <w:t>.</w:t>
      </w:r>
      <w:r>
        <w:t xml:space="preserve"> The human element is vital to the success of protecting all GTA information and assets. “</w:t>
      </w:r>
      <w:r w:rsidRPr="00610741">
        <w:rPr>
          <w:i/>
        </w:rPr>
        <w:t xml:space="preserve">Each GTA employee and contractor will be provided mandatory training in end user security awareness </w:t>
      </w:r>
      <w:r w:rsidR="00DF08AA">
        <w:rPr>
          <w:i/>
        </w:rPr>
        <w:t>per the GTA Enterprise Security Standard SS-08.012</w:t>
      </w:r>
      <w:r>
        <w:rPr>
          <w:i/>
        </w:rPr>
        <w:t>.”</w:t>
      </w:r>
      <w:r>
        <w:t xml:space="preserve"> Regardless</w:t>
      </w:r>
      <w:r w:rsidR="00065C8E">
        <w:t xml:space="preserve"> of </w:t>
      </w:r>
      <w:r w:rsidR="00DF08AA">
        <w:t xml:space="preserve">the </w:t>
      </w:r>
      <w:r w:rsidR="00065C8E">
        <w:t xml:space="preserve">employee’s </w:t>
      </w:r>
      <w:r>
        <w:t>role is involved with management, use, or operation of any GTA assets, protecting the Confidentiality, Integrity, and Availability</w:t>
      </w:r>
      <w:r w:rsidR="00610741">
        <w:t xml:space="preserve"> </w:t>
      </w:r>
      <w:r w:rsidR="00DF08AA">
        <w:t xml:space="preserve">of GTA assets </w:t>
      </w:r>
      <w:r>
        <w:t>is everyone’s responsibility</w:t>
      </w:r>
      <w:r w:rsidR="00610741">
        <w:t xml:space="preserve"> here at GTA</w:t>
      </w:r>
      <w:r>
        <w:t>.</w:t>
      </w:r>
    </w:p>
    <w:p w14:paraId="133D1D16" w14:textId="77777777" w:rsidR="000E2F56" w:rsidRDefault="000E2F56">
      <w:pPr>
        <w:pStyle w:val="BodyText"/>
        <w:spacing w:before="9"/>
        <w:ind w:left="0"/>
        <w:rPr>
          <w:sz w:val="27"/>
        </w:rPr>
      </w:pPr>
    </w:p>
    <w:p w14:paraId="2A918E64" w14:textId="77777777" w:rsidR="000E2F56" w:rsidRDefault="00C75C22">
      <w:pPr>
        <w:pStyle w:val="Heading1"/>
      </w:pPr>
      <w:r>
        <w:t>POLICY</w:t>
      </w:r>
    </w:p>
    <w:p w14:paraId="2D104B0D" w14:textId="77777777" w:rsidR="000E2F56" w:rsidRDefault="00610741">
      <w:pPr>
        <w:pStyle w:val="BodyText"/>
        <w:spacing w:before="319" w:line="254" w:lineRule="auto"/>
        <w:ind w:right="232"/>
      </w:pPr>
      <w:r>
        <w:t>GTA’s</w:t>
      </w:r>
      <w:r w:rsidR="00C75C22">
        <w:t xml:space="preserve"> </w:t>
      </w:r>
      <w:r w:rsidR="008A6C0A">
        <w:t>employees</w:t>
      </w:r>
      <w:r w:rsidR="00065C8E">
        <w:t xml:space="preserve"> </w:t>
      </w:r>
      <w:r>
        <w:t>will</w:t>
      </w:r>
      <w:r w:rsidR="00C75C22">
        <w:t xml:space="preserve"> be made aware of their basic information security responsibilities</w:t>
      </w:r>
      <w:r>
        <w:t xml:space="preserve"> t</w:t>
      </w:r>
      <w:r w:rsidR="00C75C22">
        <w:t xml:space="preserve">hrough </w:t>
      </w:r>
      <w:r>
        <w:t xml:space="preserve">a diverse security </w:t>
      </w:r>
      <w:r w:rsidR="00C75C22">
        <w:t xml:space="preserve">awareness </w:t>
      </w:r>
      <w:r>
        <w:t xml:space="preserve">training </w:t>
      </w:r>
      <w:r w:rsidR="00C75C22">
        <w:t xml:space="preserve">program. </w:t>
      </w:r>
      <w:r w:rsidR="008A6C0A">
        <w:t xml:space="preserve">Employee includes full time employees, part-time employees, time limited employees, retirees, contractors, and interns.  </w:t>
      </w:r>
      <w:r w:rsidR="00C75C22">
        <w:t xml:space="preserve">All </w:t>
      </w:r>
      <w:r>
        <w:t>GTA employees must complete</w:t>
      </w:r>
      <w:r w:rsidR="00C75C22">
        <w:t xml:space="preserve"> </w:t>
      </w:r>
      <w:r>
        <w:t>all assigned</w:t>
      </w:r>
      <w:r w:rsidR="00C75C22">
        <w:t xml:space="preserve"> annual security </w:t>
      </w:r>
      <w:r w:rsidR="00C75C22" w:rsidRPr="00045176">
        <w:t>awareness</w:t>
      </w:r>
      <w:r w:rsidR="00C75C22">
        <w:t xml:space="preserve"> training.</w:t>
      </w:r>
      <w:r>
        <w:t xml:space="preserve"> Participation</w:t>
      </w:r>
      <w:r w:rsidR="0083323F">
        <w:t xml:space="preserve"> and c</w:t>
      </w:r>
      <w:r w:rsidR="00875527">
        <w:t>ompletion of</w:t>
      </w:r>
      <w:r w:rsidR="0083323F">
        <w:t xml:space="preserve"> all</w:t>
      </w:r>
      <w:r w:rsidR="00875527">
        <w:t xml:space="preserve"> security awareness training</w:t>
      </w:r>
      <w:r>
        <w:t xml:space="preserve"> is </w:t>
      </w:r>
      <w:r w:rsidR="00C75C22">
        <w:t>mandatory</w:t>
      </w:r>
      <w:r w:rsidR="00875527">
        <w:t>.</w:t>
      </w:r>
      <w:r w:rsidR="00C75C22">
        <w:t xml:space="preserve"> </w:t>
      </w:r>
    </w:p>
    <w:p w14:paraId="651BF874" w14:textId="77777777" w:rsidR="00065C8E" w:rsidRDefault="00065C8E" w:rsidP="000457FD">
      <w:pPr>
        <w:spacing w:line="254" w:lineRule="auto"/>
        <w:rPr>
          <w:b/>
          <w:sz w:val="36"/>
          <w:szCs w:val="36"/>
        </w:rPr>
      </w:pPr>
    </w:p>
    <w:p w14:paraId="7D1765F6" w14:textId="77777777" w:rsidR="00045176" w:rsidRDefault="00045176" w:rsidP="000457FD">
      <w:pPr>
        <w:spacing w:line="254" w:lineRule="auto"/>
        <w:rPr>
          <w:b/>
          <w:sz w:val="36"/>
          <w:szCs w:val="36"/>
        </w:rPr>
      </w:pPr>
      <w:r w:rsidRPr="00045176">
        <w:rPr>
          <w:b/>
          <w:sz w:val="36"/>
          <w:szCs w:val="36"/>
        </w:rPr>
        <w:t>ENFORCEMENT</w:t>
      </w:r>
    </w:p>
    <w:p w14:paraId="376E11DC" w14:textId="77777777" w:rsidR="000457FD" w:rsidRPr="00065C8E" w:rsidRDefault="00875527" w:rsidP="00065C8E">
      <w:pPr>
        <w:pStyle w:val="BodyText"/>
        <w:spacing w:before="319" w:line="254" w:lineRule="auto"/>
        <w:ind w:left="0" w:right="232"/>
      </w:pPr>
      <w:r w:rsidRPr="008A6C0A">
        <w:t>As indicated in the p</w:t>
      </w:r>
      <w:r w:rsidR="000457FD" w:rsidRPr="008A6C0A">
        <w:t>olicy section-</w:t>
      </w:r>
      <w:r w:rsidR="000457FD" w:rsidRPr="00065C8E">
        <w:t xml:space="preserve"> Participation </w:t>
      </w:r>
      <w:r w:rsidRPr="00065C8E">
        <w:t xml:space="preserve">and completion of </w:t>
      </w:r>
      <w:r w:rsidR="0083323F" w:rsidRPr="00065C8E">
        <w:t>all</w:t>
      </w:r>
      <w:r w:rsidRPr="00065C8E">
        <w:t xml:space="preserve"> security awareness training </w:t>
      </w:r>
      <w:r w:rsidR="000457FD" w:rsidRPr="00065C8E">
        <w:t xml:space="preserve">is mandatory. Each GTA employee and contractor is required to complete </w:t>
      </w:r>
      <w:r w:rsidR="005F0C56" w:rsidRPr="00065C8E">
        <w:t xml:space="preserve">all </w:t>
      </w:r>
      <w:r w:rsidR="000457FD" w:rsidRPr="00065C8E">
        <w:t xml:space="preserve">assigned security awareness training in the required time frame. </w:t>
      </w:r>
      <w:r w:rsidR="00065C8E">
        <w:t xml:space="preserve">Metrics are documented in personnel and </w:t>
      </w:r>
      <w:r w:rsidR="00065C8E">
        <w:lastRenderedPageBreak/>
        <w:t xml:space="preserve">contractor records for all GTA employees and contractors who have logical and/or physical access to GTA assets and resources. </w:t>
      </w:r>
      <w:r w:rsidR="000457FD" w:rsidRPr="00065C8E">
        <w:t>If the GTA employee and contractor does not complete the training the following enforcement steps below will take place</w:t>
      </w:r>
      <w:r w:rsidRPr="00065C8E">
        <w:t xml:space="preserve"> in the following</w:t>
      </w:r>
      <w:r w:rsidR="000457FD" w:rsidRPr="00065C8E">
        <w:t xml:space="preserve"> order:</w:t>
      </w:r>
    </w:p>
    <w:p w14:paraId="14AFE7E9" w14:textId="77777777" w:rsidR="000457FD" w:rsidRPr="00065C8E" w:rsidRDefault="000457FD" w:rsidP="000457FD">
      <w:pPr>
        <w:spacing w:line="254" w:lineRule="auto"/>
        <w:rPr>
          <w:sz w:val="24"/>
          <w:szCs w:val="24"/>
        </w:rPr>
      </w:pPr>
    </w:p>
    <w:p w14:paraId="3B6097F5" w14:textId="77777777" w:rsidR="000457FD" w:rsidRDefault="000457FD" w:rsidP="000457FD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The GTA CTO will email the GTA </w:t>
      </w:r>
      <w:r w:rsidR="008A6C0A">
        <w:rPr>
          <w:sz w:val="24"/>
          <w:szCs w:val="24"/>
        </w:rPr>
        <w:t xml:space="preserve">employee’s </w:t>
      </w:r>
      <w:r>
        <w:rPr>
          <w:sz w:val="24"/>
          <w:szCs w:val="24"/>
        </w:rPr>
        <w:t>manager indicating that their employee has not completed the assigned security awareness training. GTA employee/contractor will be given a minimum of 24 hours to complete the assigned training.</w:t>
      </w:r>
    </w:p>
    <w:p w14:paraId="03B26255" w14:textId="77777777" w:rsidR="000457FD" w:rsidRDefault="000457FD" w:rsidP="000457FD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If the security awareness training is still not complete</w:t>
      </w:r>
      <w:r w:rsidR="00196C2F">
        <w:rPr>
          <w:sz w:val="24"/>
          <w:szCs w:val="24"/>
        </w:rPr>
        <w:t>d</w:t>
      </w:r>
      <w:r>
        <w:rPr>
          <w:sz w:val="24"/>
          <w:szCs w:val="24"/>
        </w:rPr>
        <w:t xml:space="preserve"> after </w:t>
      </w:r>
      <w:r w:rsidR="00196C2F">
        <w:rPr>
          <w:sz w:val="24"/>
          <w:szCs w:val="24"/>
        </w:rPr>
        <w:t>notifying</w:t>
      </w:r>
      <w:r>
        <w:rPr>
          <w:sz w:val="24"/>
          <w:szCs w:val="24"/>
        </w:rPr>
        <w:t xml:space="preserve"> the employee</w:t>
      </w:r>
      <w:r w:rsidR="00196C2F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51572F">
        <w:rPr>
          <w:sz w:val="24"/>
          <w:szCs w:val="24"/>
        </w:rPr>
        <w:t>manager,</w:t>
      </w:r>
      <w:r>
        <w:rPr>
          <w:sz w:val="24"/>
          <w:szCs w:val="24"/>
        </w:rPr>
        <w:t xml:space="preserve"> the GTA employee will lose access to email.</w:t>
      </w:r>
    </w:p>
    <w:p w14:paraId="6D72FF90" w14:textId="77777777" w:rsidR="000457FD" w:rsidRPr="000457FD" w:rsidRDefault="000457FD" w:rsidP="000457FD">
      <w:pPr>
        <w:pStyle w:val="ListParagraph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If the security awareness training is still not complete</w:t>
      </w:r>
      <w:r w:rsidR="00196C2F">
        <w:rPr>
          <w:sz w:val="24"/>
          <w:szCs w:val="24"/>
        </w:rPr>
        <w:t>d</w:t>
      </w:r>
      <w:r>
        <w:rPr>
          <w:sz w:val="24"/>
          <w:szCs w:val="24"/>
        </w:rPr>
        <w:t xml:space="preserve"> after email access has been removed, then that employee’s name will be turned over to Human Resources to begin </w:t>
      </w:r>
      <w:r w:rsidR="00E278E0">
        <w:rPr>
          <w:sz w:val="24"/>
          <w:szCs w:val="24"/>
        </w:rPr>
        <w:t>disciplinary</w:t>
      </w:r>
      <w:r>
        <w:rPr>
          <w:sz w:val="24"/>
          <w:szCs w:val="24"/>
        </w:rPr>
        <w:t xml:space="preserve"> acti</w:t>
      </w:r>
      <w:r w:rsidR="00196C2F">
        <w:rPr>
          <w:sz w:val="24"/>
          <w:szCs w:val="24"/>
        </w:rPr>
        <w:t>o</w:t>
      </w:r>
      <w:r>
        <w:rPr>
          <w:sz w:val="24"/>
          <w:szCs w:val="24"/>
        </w:rPr>
        <w:t>n.</w:t>
      </w:r>
    </w:p>
    <w:p w14:paraId="6FC3295A" w14:textId="77777777" w:rsidR="00045176" w:rsidRDefault="00045176" w:rsidP="00E278E0">
      <w:pPr>
        <w:spacing w:line="254" w:lineRule="auto"/>
        <w:rPr>
          <w:b/>
          <w:sz w:val="36"/>
          <w:szCs w:val="36"/>
        </w:rPr>
      </w:pPr>
    </w:p>
    <w:p w14:paraId="2D164D38" w14:textId="77777777" w:rsidR="00045176" w:rsidRDefault="00045176" w:rsidP="00045176">
      <w:pPr>
        <w:spacing w:line="254" w:lineRule="auto"/>
        <w:ind w:firstLine="120"/>
        <w:rPr>
          <w:b/>
          <w:sz w:val="36"/>
          <w:szCs w:val="36"/>
        </w:rPr>
      </w:pPr>
      <w:r>
        <w:rPr>
          <w:b/>
          <w:sz w:val="36"/>
          <w:szCs w:val="36"/>
        </w:rPr>
        <w:t>EXCEPTION</w:t>
      </w:r>
      <w:r w:rsidR="00E278E0">
        <w:rPr>
          <w:b/>
          <w:sz w:val="36"/>
          <w:szCs w:val="36"/>
        </w:rPr>
        <w:t>S</w:t>
      </w:r>
    </w:p>
    <w:p w14:paraId="4B9D29FF" w14:textId="77777777" w:rsidR="000457FD" w:rsidRDefault="000457FD" w:rsidP="00045176">
      <w:pPr>
        <w:spacing w:line="254" w:lineRule="auto"/>
        <w:ind w:firstLine="120"/>
        <w:rPr>
          <w:b/>
          <w:sz w:val="36"/>
          <w:szCs w:val="36"/>
        </w:rPr>
      </w:pPr>
    </w:p>
    <w:p w14:paraId="6760EE81" w14:textId="77777777" w:rsidR="00E278E0" w:rsidRDefault="000457FD" w:rsidP="005E3886">
      <w:pPr>
        <w:spacing w:line="254" w:lineRule="auto"/>
        <w:ind w:firstLine="120"/>
        <w:rPr>
          <w:sz w:val="24"/>
          <w:szCs w:val="24"/>
        </w:rPr>
      </w:pPr>
      <w:r>
        <w:rPr>
          <w:sz w:val="24"/>
          <w:szCs w:val="24"/>
        </w:rPr>
        <w:t xml:space="preserve">There are no exceptions to this GTA </w:t>
      </w:r>
      <w:r w:rsidR="00865229">
        <w:rPr>
          <w:sz w:val="24"/>
          <w:szCs w:val="24"/>
        </w:rPr>
        <w:t>Human resources</w:t>
      </w:r>
      <w:r>
        <w:rPr>
          <w:sz w:val="24"/>
          <w:szCs w:val="24"/>
        </w:rPr>
        <w:t xml:space="preserve"> policy</w:t>
      </w:r>
      <w:r w:rsidR="00E278E0">
        <w:rPr>
          <w:sz w:val="24"/>
          <w:szCs w:val="24"/>
        </w:rPr>
        <w:t xml:space="preserve"> on security awareness training</w:t>
      </w:r>
      <w:r>
        <w:rPr>
          <w:sz w:val="24"/>
          <w:szCs w:val="24"/>
        </w:rPr>
        <w:t>.</w:t>
      </w:r>
    </w:p>
    <w:p w14:paraId="0CAAC706" w14:textId="77777777" w:rsidR="00E278E0" w:rsidRDefault="00E278E0" w:rsidP="00E278E0">
      <w:pPr>
        <w:spacing w:line="254" w:lineRule="auto"/>
        <w:ind w:firstLine="120"/>
        <w:rPr>
          <w:sz w:val="24"/>
          <w:szCs w:val="24"/>
        </w:rPr>
      </w:pPr>
    </w:p>
    <w:p w14:paraId="0EA1E3D6" w14:textId="77777777" w:rsidR="00E278E0" w:rsidRDefault="00E278E0" w:rsidP="00E278E0">
      <w:pPr>
        <w:pStyle w:val="Heading1"/>
        <w:spacing w:before="75" w:line="254" w:lineRule="auto"/>
        <w:ind w:left="0" w:right="1729"/>
      </w:pPr>
      <w:bookmarkStart w:id="1" w:name="_RELATED_ENTERPRISE_POLICIES,"/>
      <w:bookmarkEnd w:id="1"/>
      <w:r>
        <w:t xml:space="preserve">RELATED </w:t>
      </w:r>
      <w:r w:rsidR="00EE4865">
        <w:t>GTA</w:t>
      </w:r>
      <w:r w:rsidR="00865229">
        <w:t xml:space="preserve"> POLICIES &amp; STANDARDS</w:t>
      </w:r>
    </w:p>
    <w:p w14:paraId="73AE341F" w14:textId="77777777" w:rsidR="00E278E0" w:rsidRDefault="00E278E0" w:rsidP="00E278E0">
      <w:pPr>
        <w:spacing w:line="254" w:lineRule="auto"/>
        <w:rPr>
          <w:sz w:val="24"/>
          <w:szCs w:val="24"/>
        </w:rPr>
      </w:pPr>
    </w:p>
    <w:p w14:paraId="7D128FFB" w14:textId="77777777" w:rsidR="00865229" w:rsidRPr="005E3886" w:rsidRDefault="00865229" w:rsidP="00865229">
      <w:pPr>
        <w:spacing w:line="254" w:lineRule="auto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GTA Human Resource Policy #2.4 – Information Technology-</w:t>
      </w:r>
    </w:p>
    <w:p w14:paraId="4C2A80CD" w14:textId="77777777" w:rsidR="00865229" w:rsidRDefault="00B12D77" w:rsidP="00865229">
      <w:pPr>
        <w:spacing w:line="254" w:lineRule="auto"/>
        <w:rPr>
          <w:sz w:val="24"/>
          <w:szCs w:val="24"/>
        </w:rPr>
      </w:pPr>
      <w:hyperlink r:id="rId10" w:history="1">
        <w:r w:rsidR="00865229" w:rsidRPr="00082DBF">
          <w:rPr>
            <w:rStyle w:val="Hyperlink"/>
            <w:sz w:val="24"/>
            <w:szCs w:val="24"/>
          </w:rPr>
          <w:t>https://mygta.ga.gov/hr/HRPolicyDocs/Information%20Technology.pdf</w:t>
        </w:r>
      </w:hyperlink>
    </w:p>
    <w:p w14:paraId="159C129D" w14:textId="77777777" w:rsidR="00865229" w:rsidRDefault="00865229" w:rsidP="00E278E0">
      <w:pPr>
        <w:spacing w:line="254" w:lineRule="auto"/>
        <w:rPr>
          <w:sz w:val="24"/>
          <w:szCs w:val="24"/>
        </w:rPr>
      </w:pPr>
    </w:p>
    <w:p w14:paraId="1F82D838" w14:textId="77777777" w:rsidR="00CC57A7" w:rsidRDefault="00E278E0" w:rsidP="00E278E0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Security Awareness Program (Policy) PS-08-010.01</w:t>
      </w:r>
      <w:r w:rsidR="00CC57A7">
        <w:rPr>
          <w:sz w:val="24"/>
          <w:szCs w:val="24"/>
        </w:rPr>
        <w:t xml:space="preserve">- </w:t>
      </w:r>
    </w:p>
    <w:p w14:paraId="79ADA53F" w14:textId="77777777" w:rsidR="0051572F" w:rsidRPr="0051572F" w:rsidRDefault="00B12D77" w:rsidP="0051572F">
      <w:pPr>
        <w:spacing w:line="254" w:lineRule="auto"/>
        <w:rPr>
          <w:sz w:val="24"/>
          <w:szCs w:val="24"/>
        </w:rPr>
      </w:pPr>
      <w:hyperlink r:id="rId11" w:history="1">
        <w:r w:rsidR="0051572F" w:rsidRPr="00EF0DD2">
          <w:rPr>
            <w:rStyle w:val="Hyperlink"/>
            <w:sz w:val="24"/>
            <w:szCs w:val="24"/>
          </w:rPr>
          <w:t>https://gta-psg.georgia.gov/article/security-awareness-program</w:t>
        </w:r>
      </w:hyperlink>
      <w:r w:rsidR="0051572F">
        <w:rPr>
          <w:sz w:val="24"/>
          <w:szCs w:val="24"/>
        </w:rPr>
        <w:t xml:space="preserve"> </w:t>
      </w:r>
    </w:p>
    <w:p w14:paraId="15A957FA" w14:textId="77777777" w:rsidR="0051572F" w:rsidRDefault="0051572F" w:rsidP="00865229">
      <w:pPr>
        <w:pStyle w:val="BodyText"/>
        <w:spacing w:before="319"/>
        <w:ind w:left="0"/>
      </w:pPr>
      <w:r>
        <w:t xml:space="preserve">See Enterprise Information Security Charter Policy </w:t>
      </w:r>
      <w:hyperlink r:id="rId12">
        <w:r>
          <w:t>PS-08-005</w:t>
        </w:r>
      </w:hyperlink>
      <w:r>
        <w:t xml:space="preserve">- </w:t>
      </w:r>
    </w:p>
    <w:p w14:paraId="1CA0CF7D" w14:textId="77777777" w:rsidR="0051572F" w:rsidRPr="0051572F" w:rsidRDefault="00B12D77" w:rsidP="00865229">
      <w:pPr>
        <w:pStyle w:val="BodyText"/>
        <w:spacing w:before="319"/>
        <w:ind w:left="0"/>
        <w:rPr>
          <w:rStyle w:val="Hyperlink"/>
          <w:color w:val="auto"/>
          <w:u w:val="none"/>
        </w:rPr>
      </w:pPr>
      <w:hyperlink r:id="rId13" w:history="1">
        <w:r w:rsidR="0051572F" w:rsidRPr="00EF0DD2">
          <w:rPr>
            <w:rStyle w:val="Hyperlink"/>
          </w:rPr>
          <w:t>https://gta-psg.georgia.gov/article/enterprise-information-security-charter</w:t>
        </w:r>
      </w:hyperlink>
      <w:r w:rsidR="0051572F">
        <w:t xml:space="preserve">  </w:t>
      </w:r>
    </w:p>
    <w:p w14:paraId="6044B4B1" w14:textId="77777777" w:rsidR="0051572F" w:rsidRDefault="0051572F" w:rsidP="00865229">
      <w:pPr>
        <w:pStyle w:val="BodyText"/>
        <w:spacing w:before="319"/>
        <w:ind w:left="0"/>
        <w:rPr>
          <w:rStyle w:val="Hyperlink"/>
        </w:rPr>
      </w:pPr>
    </w:p>
    <w:p w14:paraId="46D4D2AD" w14:textId="77777777" w:rsidR="00865229" w:rsidRPr="00865229" w:rsidRDefault="00865229" w:rsidP="00865229">
      <w:pPr>
        <w:spacing w:line="254" w:lineRule="auto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Security Education and Awareness (Standard) SS-08.012- </w:t>
      </w:r>
    </w:p>
    <w:p w14:paraId="6DA311A9" w14:textId="77777777" w:rsidR="00865229" w:rsidRDefault="00B12D77" w:rsidP="00E278E0">
      <w:pPr>
        <w:spacing w:line="254" w:lineRule="auto"/>
        <w:rPr>
          <w:sz w:val="24"/>
          <w:szCs w:val="24"/>
        </w:rPr>
      </w:pPr>
      <w:hyperlink r:id="rId14" w:history="1">
        <w:r w:rsidR="0051572F" w:rsidRPr="00EF0DD2">
          <w:rPr>
            <w:rStyle w:val="Hyperlink"/>
            <w:sz w:val="24"/>
            <w:szCs w:val="24"/>
          </w:rPr>
          <w:t>https://gta-psg.georgia.gov/article/security-education-and-awareness</w:t>
        </w:r>
      </w:hyperlink>
      <w:r w:rsidR="0051572F">
        <w:rPr>
          <w:sz w:val="24"/>
          <w:szCs w:val="24"/>
        </w:rPr>
        <w:t xml:space="preserve"> </w:t>
      </w:r>
    </w:p>
    <w:p w14:paraId="23E95FEE" w14:textId="77777777" w:rsidR="0051572F" w:rsidRDefault="0051572F" w:rsidP="00E278E0">
      <w:pPr>
        <w:spacing w:line="254" w:lineRule="auto"/>
        <w:rPr>
          <w:sz w:val="24"/>
          <w:szCs w:val="24"/>
        </w:rPr>
      </w:pPr>
    </w:p>
    <w:p w14:paraId="4B11F7B7" w14:textId="77777777" w:rsidR="00664D8D" w:rsidRPr="00664D8D" w:rsidRDefault="00664D8D" w:rsidP="00664D8D">
      <w:pPr>
        <w:spacing w:before="91"/>
        <w:ind w:right="107"/>
        <w:jc w:val="both"/>
        <w:rPr>
          <w:sz w:val="24"/>
          <w:szCs w:val="24"/>
        </w:rPr>
      </w:pPr>
      <w:r w:rsidRPr="00664D8D">
        <w:rPr>
          <w:sz w:val="24"/>
          <w:szCs w:val="24"/>
        </w:rPr>
        <w:t xml:space="preserve">I hereby acknowledge that I have read, understand, and agree to the terms and conditions contained in the GTA </w:t>
      </w:r>
      <w:r w:rsidR="00BF61B7">
        <w:rPr>
          <w:sz w:val="24"/>
          <w:szCs w:val="24"/>
        </w:rPr>
        <w:t>Human Resources #2.4 policy</w:t>
      </w:r>
      <w:r w:rsidRPr="00664D8D">
        <w:rPr>
          <w:sz w:val="24"/>
          <w:szCs w:val="24"/>
        </w:rPr>
        <w:t xml:space="preserve">. To the best of my knowledge and belief, all the information </w:t>
      </w:r>
      <w:r>
        <w:rPr>
          <w:sz w:val="24"/>
          <w:szCs w:val="24"/>
        </w:rPr>
        <w:t>i</w:t>
      </w:r>
      <w:r w:rsidRPr="00664D8D">
        <w:rPr>
          <w:sz w:val="24"/>
          <w:szCs w:val="24"/>
        </w:rPr>
        <w:t xml:space="preserve">n the </w:t>
      </w:r>
      <w:r w:rsidR="00595339">
        <w:rPr>
          <w:sz w:val="24"/>
          <w:szCs w:val="24"/>
        </w:rPr>
        <w:t>agreement</w:t>
      </w:r>
      <w:r>
        <w:rPr>
          <w:sz w:val="24"/>
          <w:szCs w:val="24"/>
        </w:rPr>
        <w:t xml:space="preserve"> </w:t>
      </w:r>
      <w:r w:rsidRPr="00664D8D">
        <w:rPr>
          <w:sz w:val="24"/>
          <w:szCs w:val="24"/>
        </w:rPr>
        <w:t>is true and complete.</w:t>
      </w:r>
    </w:p>
    <w:p w14:paraId="0B59018C" w14:textId="77777777" w:rsidR="00664D8D" w:rsidRDefault="00664D8D" w:rsidP="00664D8D">
      <w:pPr>
        <w:pStyle w:val="BodyText"/>
        <w:rPr>
          <w:b/>
        </w:rPr>
      </w:pPr>
    </w:p>
    <w:p w14:paraId="709D1812" w14:textId="77777777" w:rsidR="00664D8D" w:rsidRDefault="00664D8D" w:rsidP="00664D8D">
      <w:pPr>
        <w:pStyle w:val="BodyText"/>
        <w:tabs>
          <w:tab w:val="left" w:pos="6051"/>
          <w:tab w:val="left" w:pos="6771"/>
          <w:tab w:val="left" w:pos="8931"/>
        </w:tabs>
        <w:spacing w:before="212"/>
        <w:ind w:left="292"/>
        <w:jc w:val="both"/>
      </w:pPr>
      <w:r>
        <w:t>Employee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</w:p>
    <w:p w14:paraId="55B15DED" w14:textId="77777777" w:rsidR="00664D8D" w:rsidRDefault="00664D8D" w:rsidP="00664D8D">
      <w:pPr>
        <w:pStyle w:val="BodyText"/>
        <w:rPr>
          <w:sz w:val="14"/>
        </w:rPr>
      </w:pPr>
    </w:p>
    <w:p w14:paraId="106D42D0" w14:textId="77777777" w:rsidR="00664D8D" w:rsidRDefault="00664D8D" w:rsidP="00664D8D">
      <w:pPr>
        <w:pStyle w:val="BodyText"/>
        <w:tabs>
          <w:tab w:val="left" w:pos="6051"/>
          <w:tab w:val="left" w:pos="6772"/>
          <w:tab w:val="left" w:pos="8931"/>
        </w:tabs>
        <w:spacing w:before="92"/>
        <w:ind w:left="292"/>
      </w:pPr>
      <w:r>
        <w:t>Print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4AA8E6C0" w14:textId="77777777" w:rsidR="00664D8D" w:rsidRDefault="00664D8D" w:rsidP="00664D8D">
      <w:pPr>
        <w:pStyle w:val="BodyText"/>
        <w:spacing w:before="9"/>
        <w:rPr>
          <w:sz w:val="13"/>
        </w:rPr>
      </w:pPr>
    </w:p>
    <w:p w14:paraId="4CA92EA3" w14:textId="77777777" w:rsidR="00664D8D" w:rsidRDefault="00664D8D" w:rsidP="00664D8D">
      <w:pPr>
        <w:pStyle w:val="BodyText"/>
        <w:tabs>
          <w:tab w:val="left" w:pos="6051"/>
          <w:tab w:val="left" w:pos="6772"/>
          <w:tab w:val="left" w:pos="8931"/>
        </w:tabs>
        <w:spacing w:before="92"/>
        <w:ind w:left="292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Dept: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14:paraId="116F09B8" w14:textId="77777777" w:rsidR="00664D8D" w:rsidRDefault="00664D8D" w:rsidP="00E278E0">
      <w:pPr>
        <w:spacing w:line="254" w:lineRule="auto"/>
        <w:rPr>
          <w:sz w:val="24"/>
          <w:szCs w:val="24"/>
        </w:rPr>
      </w:pPr>
    </w:p>
    <w:p w14:paraId="6BD49DE6" w14:textId="77777777" w:rsidR="00CC57A7" w:rsidRDefault="00CC57A7" w:rsidP="00E278E0">
      <w:pPr>
        <w:spacing w:line="254" w:lineRule="auto"/>
        <w:rPr>
          <w:sz w:val="24"/>
          <w:szCs w:val="24"/>
        </w:rPr>
      </w:pPr>
    </w:p>
    <w:p w14:paraId="56BA7A63" w14:textId="77777777" w:rsidR="00CC57A7" w:rsidRDefault="00CC57A7" w:rsidP="00E278E0">
      <w:pPr>
        <w:spacing w:line="254" w:lineRule="auto"/>
        <w:rPr>
          <w:sz w:val="24"/>
          <w:szCs w:val="24"/>
        </w:rPr>
      </w:pPr>
    </w:p>
    <w:p w14:paraId="4AF60F4A" w14:textId="77777777" w:rsidR="00CC57A7" w:rsidRDefault="00664D8D" w:rsidP="00E278E0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5CB5763A" w14:textId="77777777" w:rsidR="00CC57A7" w:rsidRDefault="00CC57A7" w:rsidP="00E278E0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  <w:r w:rsidR="005E3886">
        <w:rPr>
          <w:sz w:val="24"/>
          <w:szCs w:val="24"/>
        </w:rPr>
        <w:softHyphen/>
      </w:r>
    </w:p>
    <w:sectPr w:rsidR="00CC57A7" w:rsidSect="005172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ACDB" w14:textId="77777777" w:rsidR="00B12D77" w:rsidRDefault="00B12D77" w:rsidP="00F21351">
      <w:r>
        <w:separator/>
      </w:r>
    </w:p>
  </w:endnote>
  <w:endnote w:type="continuationSeparator" w:id="0">
    <w:p w14:paraId="2A14F1DE" w14:textId="77777777" w:rsidR="00B12D77" w:rsidRDefault="00B12D77" w:rsidP="00F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A990" w14:textId="77777777" w:rsidR="003E3D00" w:rsidRDefault="003E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625F" w14:textId="77777777" w:rsidR="003E3D00" w:rsidRDefault="003E3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DAD0" w14:textId="77777777" w:rsidR="003E3D00" w:rsidRDefault="003E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7995" w14:textId="77777777" w:rsidR="00B12D77" w:rsidRDefault="00B12D77" w:rsidP="00F21351">
      <w:r>
        <w:separator/>
      </w:r>
    </w:p>
  </w:footnote>
  <w:footnote w:type="continuationSeparator" w:id="0">
    <w:p w14:paraId="3C47BE6E" w14:textId="77777777" w:rsidR="00B12D77" w:rsidRDefault="00B12D77" w:rsidP="00F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8E7" w14:textId="77777777" w:rsidR="003E3D00" w:rsidRDefault="003E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D1E2" w14:textId="77777777" w:rsidR="003E3D00" w:rsidRDefault="003E3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D5B4" w14:textId="77777777" w:rsidR="003E3D00" w:rsidRDefault="003E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0CF1"/>
    <w:multiLevelType w:val="hybridMultilevel"/>
    <w:tmpl w:val="796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6"/>
    <w:rsid w:val="00005B2E"/>
    <w:rsid w:val="00045176"/>
    <w:rsid w:val="000457FD"/>
    <w:rsid w:val="00065C8E"/>
    <w:rsid w:val="00075AC0"/>
    <w:rsid w:val="000E2F56"/>
    <w:rsid w:val="000F63D3"/>
    <w:rsid w:val="00196266"/>
    <w:rsid w:val="00196C2F"/>
    <w:rsid w:val="001C070D"/>
    <w:rsid w:val="00207ABB"/>
    <w:rsid w:val="002367E1"/>
    <w:rsid w:val="002A1F5B"/>
    <w:rsid w:val="002C7DB4"/>
    <w:rsid w:val="00306440"/>
    <w:rsid w:val="003405D5"/>
    <w:rsid w:val="003E3D00"/>
    <w:rsid w:val="00446EF7"/>
    <w:rsid w:val="004729EC"/>
    <w:rsid w:val="004771C7"/>
    <w:rsid w:val="00480150"/>
    <w:rsid w:val="004D0AE9"/>
    <w:rsid w:val="0051572F"/>
    <w:rsid w:val="00517275"/>
    <w:rsid w:val="00531DA1"/>
    <w:rsid w:val="00595339"/>
    <w:rsid w:val="005E3886"/>
    <w:rsid w:val="005F0C56"/>
    <w:rsid w:val="00610741"/>
    <w:rsid w:val="00640134"/>
    <w:rsid w:val="00664D8D"/>
    <w:rsid w:val="006C6499"/>
    <w:rsid w:val="0075610A"/>
    <w:rsid w:val="0083323F"/>
    <w:rsid w:val="00865229"/>
    <w:rsid w:val="00875527"/>
    <w:rsid w:val="008A6C0A"/>
    <w:rsid w:val="009361E9"/>
    <w:rsid w:val="0094454F"/>
    <w:rsid w:val="00955E34"/>
    <w:rsid w:val="00A2619F"/>
    <w:rsid w:val="00A86B96"/>
    <w:rsid w:val="00B12D77"/>
    <w:rsid w:val="00BE50D1"/>
    <w:rsid w:val="00BF61B7"/>
    <w:rsid w:val="00C75C22"/>
    <w:rsid w:val="00CC57A7"/>
    <w:rsid w:val="00CC5F4F"/>
    <w:rsid w:val="00D1670E"/>
    <w:rsid w:val="00DE3443"/>
    <w:rsid w:val="00DF08AA"/>
    <w:rsid w:val="00E062E4"/>
    <w:rsid w:val="00E23826"/>
    <w:rsid w:val="00E278E0"/>
    <w:rsid w:val="00EC08DD"/>
    <w:rsid w:val="00EE4865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EF8B"/>
  <w15:docId w15:val="{F111294C-6C68-49AA-9A70-F09BDB4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52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552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1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5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A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C0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0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0A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5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ta-psg.georgia.gov/article/enterprise-information-security-char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ta.georgia.gov/psg/article/enterprise-information-security-char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a-psg.georgia.gov/article/security-awareness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ygta.ga.gov/hr/HRPolicyDocs/Information%20Technology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ta.georgia.gov/psg/article/security-awareness-program" TargetMode="External"/><Relationship Id="rId14" Type="http://schemas.openxmlformats.org/officeDocument/2006/relationships/hyperlink" Target="https://gta-psg.georgia.gov/article/security-education-and-awaren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B30F-764E-4F9E-9539-5C6DE552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Awareness Program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Awareness Program</dc:title>
  <dc:creator>Gilkey, Dacia</dc:creator>
  <cp:lastModifiedBy>HumanResources</cp:lastModifiedBy>
  <cp:revision>3</cp:revision>
  <cp:lastPrinted>2017-08-25T13:52:00Z</cp:lastPrinted>
  <dcterms:created xsi:type="dcterms:W3CDTF">2019-07-16T16:42:00Z</dcterms:created>
  <dcterms:modified xsi:type="dcterms:W3CDTF">2019-07-16T16:49:00Z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DOMPDF</vt:lpwstr>
  </property>
  <property fmtid="{D5CDD505-2E9C-101B-9397-08002B2CF9AE}" pid="4" name="LastSaved">
    <vt:filetime>2017-08-14T00:00:00Z</vt:filetime>
  </property>
</Properties>
</file>